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5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2384" w:right="284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1609 DE 27 DE ABRIL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44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Amplia as Medidas de Proteção à Vida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6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</w:pPr>
    </w:p>
    <w:p>
      <w:pPr>
        <w:pStyle w:val="BodyText"/>
        <w:spacing w:before="1"/>
        <w:ind w:left="118" w:right="670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mapa de risco publicado pela Secretaria estadual de saúde,</w:t>
      </w:r>
      <w:r>
        <w:rPr>
          <w:color w:val="1F1F1E"/>
          <w:spacing w:val="1"/>
        </w:rPr>
        <w:t> </w:t>
      </w:r>
      <w:r>
        <w:rPr>
          <w:color w:val="1F1F1E"/>
        </w:rPr>
        <w:t>emitido em 03 de março de 2021, que verifica, em todo o Estado, o agravamento</w:t>
      </w:r>
      <w:r>
        <w:rPr>
          <w:color w:val="1F1F1E"/>
          <w:spacing w:val="1"/>
        </w:rPr>
        <w:t> </w:t>
      </w:r>
      <w:r>
        <w:rPr>
          <w:color w:val="1F1F1E"/>
        </w:rPr>
        <w:t>simultâneo de diversos Indicadores, como o crescimento do número de casos, de</w:t>
      </w:r>
      <w:r>
        <w:rPr>
          <w:color w:val="1F1F1E"/>
          <w:spacing w:val="1"/>
        </w:rPr>
        <w:t> </w:t>
      </w:r>
      <w:r>
        <w:rPr>
          <w:color w:val="1F1F1E"/>
        </w:rPr>
        <w:t>óbitos,</w:t>
      </w:r>
      <w:r>
        <w:rPr>
          <w:color w:val="1F1F1E"/>
          <w:spacing w:val="-5"/>
        </w:rPr>
        <w:t> </w:t>
      </w:r>
      <w:r>
        <w:rPr>
          <w:color w:val="1F1F1E"/>
        </w:rPr>
        <w:t>a</w:t>
      </w:r>
      <w:r>
        <w:rPr>
          <w:color w:val="1F1F1E"/>
          <w:spacing w:val="-3"/>
        </w:rPr>
        <w:t> </w:t>
      </w:r>
      <w:r>
        <w:rPr>
          <w:color w:val="1F1F1E"/>
        </w:rPr>
        <w:t>manutenção</w:t>
      </w:r>
      <w:r>
        <w:rPr>
          <w:color w:val="1F1F1E"/>
          <w:spacing w:val="-3"/>
        </w:rPr>
        <w:t> </w:t>
      </w:r>
      <w:r>
        <w:rPr>
          <w:color w:val="1F1F1E"/>
        </w:rPr>
        <w:t>de</w:t>
      </w:r>
      <w:r>
        <w:rPr>
          <w:color w:val="1F1F1E"/>
          <w:spacing w:val="-6"/>
        </w:rPr>
        <w:t> </w:t>
      </w:r>
      <w:r>
        <w:rPr>
          <w:color w:val="1F1F1E"/>
        </w:rPr>
        <w:t>níveis</w:t>
      </w:r>
      <w:r>
        <w:rPr>
          <w:color w:val="1F1F1E"/>
          <w:spacing w:val="-6"/>
        </w:rPr>
        <w:t> </w:t>
      </w:r>
      <w:r>
        <w:rPr>
          <w:color w:val="1F1F1E"/>
        </w:rPr>
        <w:t>altos</w:t>
      </w:r>
      <w:r>
        <w:rPr>
          <w:color w:val="1F1F1E"/>
          <w:spacing w:val="-3"/>
        </w:rPr>
        <w:t> </w:t>
      </w:r>
      <w:r>
        <w:rPr>
          <w:color w:val="1F1F1E"/>
        </w:rPr>
        <w:t>de</w:t>
      </w:r>
      <w:r>
        <w:rPr>
          <w:color w:val="1F1F1E"/>
          <w:spacing w:val="-6"/>
        </w:rPr>
        <w:t> </w:t>
      </w:r>
      <w:r>
        <w:rPr>
          <w:color w:val="1F1F1E"/>
        </w:rPr>
        <w:t>incidência</w:t>
      </w:r>
      <w:r>
        <w:rPr>
          <w:color w:val="1F1F1E"/>
          <w:spacing w:val="-4"/>
        </w:rPr>
        <w:t> </w:t>
      </w:r>
      <w:r>
        <w:rPr>
          <w:color w:val="1F1F1E"/>
        </w:rPr>
        <w:t>de</w:t>
      </w:r>
      <w:r>
        <w:rPr>
          <w:color w:val="1F1F1E"/>
          <w:spacing w:val="-6"/>
        </w:rPr>
        <w:t> </w:t>
      </w:r>
      <w:r>
        <w:rPr>
          <w:color w:val="1F1F1E"/>
        </w:rPr>
        <w:t>síndromes</w:t>
      </w:r>
      <w:r>
        <w:rPr>
          <w:color w:val="1F1F1E"/>
          <w:spacing w:val="-4"/>
        </w:rPr>
        <w:t> </w:t>
      </w:r>
      <w:r>
        <w:rPr>
          <w:color w:val="1F1F1E"/>
        </w:rPr>
        <w:t>respiratórias</w:t>
      </w:r>
      <w:r>
        <w:rPr>
          <w:color w:val="1F1F1E"/>
          <w:spacing w:val="-5"/>
        </w:rPr>
        <w:t> </w:t>
      </w:r>
      <w:r>
        <w:rPr>
          <w:color w:val="1F1F1E"/>
        </w:rPr>
        <w:t>agudas</w:t>
      </w:r>
    </w:p>
    <w:p>
      <w:pPr>
        <w:pStyle w:val="BodyText"/>
        <w:spacing w:line="332" w:lineRule="exact"/>
        <w:ind w:left="118"/>
        <w:jc w:val="both"/>
      </w:pPr>
      <w:r>
        <w:rPr>
          <w:color w:val="1F1F1E"/>
        </w:rPr>
        <w:t>-</w:t>
      </w:r>
      <w:r>
        <w:rPr>
          <w:color w:val="1F1F1E"/>
          <w:spacing w:val="-6"/>
        </w:rPr>
        <w:t> </w:t>
      </w:r>
      <w:r>
        <w:rPr>
          <w:color w:val="1F1F1E"/>
        </w:rPr>
        <w:t>SRAG,</w:t>
      </w:r>
      <w:r>
        <w:rPr>
          <w:color w:val="1F1F1E"/>
          <w:spacing w:val="-4"/>
        </w:rPr>
        <w:t> </w:t>
      </w:r>
      <w:r>
        <w:rPr>
          <w:color w:val="1F1F1E"/>
        </w:rPr>
        <w:t>alta</w:t>
      </w:r>
      <w:r>
        <w:rPr>
          <w:color w:val="1F1F1E"/>
          <w:spacing w:val="-4"/>
        </w:rPr>
        <w:t> </w:t>
      </w:r>
      <w:r>
        <w:rPr>
          <w:color w:val="1F1F1E"/>
        </w:rPr>
        <w:t>positividade</w:t>
      </w:r>
      <w:r>
        <w:rPr>
          <w:color w:val="1F1F1E"/>
          <w:spacing w:val="-6"/>
        </w:rPr>
        <w:t> </w:t>
      </w:r>
      <w:r>
        <w:rPr>
          <w:color w:val="1F1F1E"/>
        </w:rPr>
        <w:t>de</w:t>
      </w:r>
      <w:r>
        <w:rPr>
          <w:color w:val="1F1F1E"/>
          <w:spacing w:val="-4"/>
        </w:rPr>
        <w:t> </w:t>
      </w:r>
      <w:r>
        <w:rPr>
          <w:color w:val="1F1F1E"/>
        </w:rPr>
        <w:t>testes</w:t>
      </w:r>
      <w:r>
        <w:rPr>
          <w:color w:val="1F1F1E"/>
          <w:spacing w:val="-4"/>
        </w:rPr>
        <w:t> </w:t>
      </w:r>
      <w:r>
        <w:rPr>
          <w:color w:val="1F1F1E"/>
        </w:rPr>
        <w:t>e</w:t>
      </w:r>
      <w:r>
        <w:rPr>
          <w:color w:val="1F1F1E"/>
          <w:spacing w:val="-6"/>
        </w:rPr>
        <w:t> </w:t>
      </w:r>
      <w:r>
        <w:rPr>
          <w:color w:val="1F1F1E"/>
        </w:rPr>
        <w:t>o</w:t>
      </w:r>
      <w:r>
        <w:rPr>
          <w:color w:val="1F1F1E"/>
          <w:spacing w:val="-5"/>
        </w:rPr>
        <w:t> </w:t>
      </w:r>
      <w:r>
        <w:rPr>
          <w:color w:val="1F1F1E"/>
        </w:rPr>
        <w:t>risco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6"/>
        </w:rPr>
        <w:t> </w:t>
      </w:r>
      <w:r>
        <w:rPr>
          <w:color w:val="1F1F1E"/>
        </w:rPr>
        <w:t>sobrecarga</w:t>
      </w:r>
      <w:r>
        <w:rPr>
          <w:color w:val="1F1F1E"/>
          <w:spacing w:val="-5"/>
        </w:rPr>
        <w:t> </w:t>
      </w:r>
      <w:r>
        <w:rPr>
          <w:color w:val="1F1F1E"/>
        </w:rPr>
        <w:t>de</w:t>
      </w:r>
      <w:r>
        <w:rPr>
          <w:color w:val="1F1F1E"/>
          <w:spacing w:val="-7"/>
        </w:rPr>
        <w:t> </w:t>
      </w:r>
      <w:r>
        <w:rPr>
          <w:color w:val="1F1F1E"/>
        </w:rPr>
        <w:t>hospitais;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Brasil</w:t>
      </w:r>
      <w:r>
        <w:rPr>
          <w:color w:val="1F1F1E"/>
          <w:spacing w:val="1"/>
        </w:rPr>
        <w:t> </w:t>
      </w:r>
      <w:r>
        <w:rPr>
          <w:color w:val="1F1F1E"/>
        </w:rPr>
        <w:t>vivencia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pior</w:t>
      </w:r>
      <w:r>
        <w:rPr>
          <w:color w:val="1F1F1E"/>
          <w:spacing w:val="1"/>
        </w:rPr>
        <w:t> </w:t>
      </w:r>
      <w:r>
        <w:rPr>
          <w:color w:val="1F1F1E"/>
        </w:rPr>
        <w:t>momento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68"/>
        </w:rPr>
        <w:t> </w:t>
      </w:r>
      <w:r>
        <w:rPr>
          <w:color w:val="1F1F1E"/>
        </w:rPr>
        <w:t>crise</w:t>
      </w:r>
      <w:r>
        <w:rPr>
          <w:color w:val="1F1F1E"/>
          <w:spacing w:val="68"/>
        </w:rPr>
        <w:t> </w:t>
      </w:r>
      <w:r>
        <w:rPr>
          <w:color w:val="1F1F1E"/>
        </w:rPr>
        <w:t>sanitária</w:t>
      </w:r>
      <w:r>
        <w:rPr>
          <w:color w:val="1F1F1E"/>
          <w:spacing w:val="1"/>
        </w:rPr>
        <w:t> </w:t>
      </w:r>
      <w:r>
        <w:rPr>
          <w:color w:val="1F1F1E"/>
        </w:rPr>
        <w:t>provocada pela Covid-19, com os índices de novos casos da doença alcançando</w:t>
      </w:r>
      <w:r>
        <w:rPr>
          <w:color w:val="1F1F1E"/>
          <w:spacing w:val="1"/>
        </w:rPr>
        <w:t> </w:t>
      </w:r>
      <w:r>
        <w:rPr>
          <w:color w:val="1F1F1E"/>
        </w:rPr>
        <w:t>patamares</w:t>
      </w:r>
      <w:r>
        <w:rPr>
          <w:color w:val="1F1F1E"/>
          <w:spacing w:val="-3"/>
        </w:rPr>
        <w:t> </w:t>
      </w:r>
      <w:r>
        <w:rPr>
          <w:color w:val="1F1F1E"/>
        </w:rPr>
        <w:t>muito</w:t>
      </w:r>
      <w:r>
        <w:rPr>
          <w:color w:val="1F1F1E"/>
          <w:spacing w:val="-2"/>
        </w:rPr>
        <w:t> </w:t>
      </w:r>
      <w:r>
        <w:rPr>
          <w:color w:val="1F1F1E"/>
        </w:rPr>
        <w:t>elevados</w:t>
      </w:r>
      <w:r>
        <w:rPr>
          <w:color w:val="1F1F1E"/>
          <w:spacing w:val="-2"/>
        </w:rPr>
        <w:t> </w:t>
      </w:r>
      <w:r>
        <w:rPr>
          <w:color w:val="1F1F1E"/>
        </w:rPr>
        <w:t>em</w:t>
      </w:r>
      <w:r>
        <w:rPr>
          <w:color w:val="1F1F1E"/>
          <w:spacing w:val="-2"/>
        </w:rPr>
        <w:t> </w:t>
      </w:r>
      <w:r>
        <w:rPr>
          <w:color w:val="1F1F1E"/>
        </w:rPr>
        <w:t>todas</w:t>
      </w:r>
      <w:r>
        <w:rPr>
          <w:color w:val="1F1F1E"/>
          <w:spacing w:val="-1"/>
        </w:rPr>
        <w:t> </w:t>
      </w:r>
      <w:r>
        <w:rPr>
          <w:color w:val="1F1F1E"/>
        </w:rPr>
        <w:t>as</w:t>
      </w:r>
      <w:r>
        <w:rPr>
          <w:color w:val="1F1F1E"/>
          <w:spacing w:val="-2"/>
        </w:rPr>
        <w:t> </w:t>
      </w:r>
      <w:r>
        <w:rPr>
          <w:color w:val="1F1F1E"/>
        </w:rPr>
        <w:t>regiões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-1"/>
        </w:rPr>
        <w:t> </w:t>
      </w:r>
      <w:r>
        <w:rPr>
          <w:color w:val="1F1F1E"/>
        </w:rPr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8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cenário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introdução</w:t>
      </w:r>
      <w:r>
        <w:rPr>
          <w:color w:val="1F1F1E"/>
          <w:spacing w:val="1"/>
        </w:rPr>
        <w:t> </w:t>
      </w:r>
      <w:r>
        <w:rPr>
          <w:color w:val="1F1F1E"/>
        </w:rPr>
        <w:t>e</w:t>
      </w:r>
      <w:r>
        <w:rPr>
          <w:color w:val="1F1F1E"/>
          <w:spacing w:val="1"/>
        </w:rPr>
        <w:t> </w:t>
      </w:r>
      <w:r>
        <w:rPr>
          <w:color w:val="1F1F1E"/>
        </w:rPr>
        <w:t>circulação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novas</w:t>
      </w:r>
      <w:r>
        <w:rPr>
          <w:color w:val="1F1F1E"/>
          <w:spacing w:val="1"/>
        </w:rPr>
        <w:t> </w:t>
      </w:r>
      <w:r>
        <w:rPr>
          <w:color w:val="1F1F1E"/>
        </w:rPr>
        <w:t>variantes</w:t>
      </w:r>
      <w:r>
        <w:rPr>
          <w:color w:val="1F1F1E"/>
          <w:spacing w:val="1"/>
        </w:rPr>
        <w:t> </w:t>
      </w:r>
      <w:r>
        <w:rPr>
          <w:color w:val="1F1F1E"/>
        </w:rPr>
        <w:t>do</w:t>
      </w:r>
      <w:r>
        <w:rPr>
          <w:color w:val="1F1F1E"/>
          <w:spacing w:val="1"/>
        </w:rPr>
        <w:t> </w:t>
      </w:r>
      <w:r>
        <w:rPr>
          <w:color w:val="1F1F1E"/>
        </w:rPr>
        <w:t>coronavírus</w:t>
      </w:r>
      <w:r>
        <w:rPr>
          <w:color w:val="1F1F1E"/>
          <w:spacing w:val="-3"/>
        </w:rPr>
        <w:t> </w:t>
      </w:r>
      <w:r>
        <w:rPr>
          <w:color w:val="1F1F1E"/>
        </w:rPr>
        <w:t>no</w:t>
      </w:r>
      <w:r>
        <w:rPr>
          <w:color w:val="1F1F1E"/>
          <w:spacing w:val="1"/>
        </w:rPr>
        <w:t> </w:t>
      </w:r>
      <w:r>
        <w:rPr/>
        <w:t>Estado;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recente elevação da Classificação para Bandeira roxa conferida</w:t>
      </w:r>
      <w:r>
        <w:rPr>
          <w:color w:val="1F1F1E"/>
          <w:spacing w:val="1"/>
        </w:rPr>
        <w:t> </w:t>
      </w:r>
      <w:r>
        <w:rPr>
          <w:color w:val="1F1F1E"/>
        </w:rPr>
        <w:t>pelo</w:t>
      </w:r>
      <w:r>
        <w:rPr>
          <w:color w:val="1F1F1E"/>
          <w:spacing w:val="-1"/>
        </w:rPr>
        <w:t> </w:t>
      </w:r>
      <w:r>
        <w:rPr>
          <w:color w:val="1F1F1E"/>
        </w:rPr>
        <w:t>corpo</w:t>
      </w:r>
      <w:r>
        <w:rPr>
          <w:color w:val="1F1F1E"/>
          <w:spacing w:val="-1"/>
        </w:rPr>
        <w:t> </w:t>
      </w:r>
      <w:r>
        <w:rPr>
          <w:color w:val="1F1F1E"/>
        </w:rPr>
        <w:t>técnico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-1"/>
        </w:rPr>
        <w:t> </w:t>
      </w:r>
      <w:r>
        <w:rPr>
          <w:color w:val="1F1F1E"/>
        </w:rPr>
        <w:t>Governo do</w:t>
      </w:r>
      <w:r>
        <w:rPr>
          <w:color w:val="1F1F1E"/>
          <w:spacing w:val="-2"/>
        </w:rPr>
        <w:t> </w:t>
      </w:r>
      <w:r>
        <w:rPr>
          <w:color w:val="1F1F1E"/>
        </w:rPr>
        <w:t>Estado</w:t>
      </w:r>
      <w:r>
        <w:rPr>
          <w:color w:val="1F1F1E"/>
          <w:spacing w:val="-1"/>
        </w:rPr>
        <w:t> </w:t>
      </w:r>
      <w:r>
        <w:rPr>
          <w:color w:val="1F1F1E"/>
        </w:rPr>
        <w:t>ao</w:t>
      </w:r>
      <w:r>
        <w:rPr>
          <w:color w:val="1F1F1E"/>
          <w:spacing w:val="-3"/>
        </w:rPr>
        <w:t> </w:t>
      </w:r>
      <w:r>
        <w:rPr>
          <w:color w:val="1F1F1E"/>
        </w:rPr>
        <w:t>Município</w:t>
      </w:r>
      <w:r>
        <w:rPr>
          <w:color w:val="1F1F1E"/>
          <w:spacing w:val="-1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Seropédica;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23"/>
        </w:rPr>
        <w:t> </w:t>
      </w:r>
      <w:r>
        <w:rPr>
          <w:color w:val="1F1F1E"/>
        </w:rPr>
        <w:t>a  </w:t>
      </w:r>
      <w:r>
        <w:rPr>
          <w:color w:val="1F1F1E"/>
          <w:spacing w:val="55"/>
        </w:rPr>
        <w:t> </w:t>
      </w:r>
      <w:r>
        <w:rPr>
          <w:color w:val="1F1F1E"/>
        </w:rPr>
        <w:t>baixa  </w:t>
      </w:r>
      <w:r>
        <w:rPr>
          <w:color w:val="1F1F1E"/>
          <w:spacing w:val="54"/>
        </w:rPr>
        <w:t> </w:t>
      </w:r>
      <w:r>
        <w:rPr>
          <w:color w:val="1F1F1E"/>
        </w:rPr>
        <w:t>adesão  </w:t>
      </w:r>
      <w:r>
        <w:rPr>
          <w:color w:val="1F1F1E"/>
          <w:spacing w:val="52"/>
        </w:rPr>
        <w:t> </w:t>
      </w:r>
      <w:r>
        <w:rPr>
          <w:color w:val="1F1F1E"/>
        </w:rPr>
        <w:t>da  </w:t>
      </w:r>
      <w:r>
        <w:rPr>
          <w:color w:val="1F1F1E"/>
          <w:spacing w:val="55"/>
        </w:rPr>
        <w:t> </w:t>
      </w:r>
      <w:r>
        <w:rPr>
          <w:color w:val="1F1F1E"/>
        </w:rPr>
        <w:t>população  </w:t>
      </w:r>
      <w:r>
        <w:rPr>
          <w:color w:val="1F1F1E"/>
          <w:spacing w:val="55"/>
        </w:rPr>
        <w:t> </w:t>
      </w:r>
      <w:r>
        <w:rPr>
          <w:color w:val="1F1F1E"/>
        </w:rPr>
        <w:t>às  </w:t>
      </w:r>
      <w:r>
        <w:rPr>
          <w:color w:val="1F1F1E"/>
          <w:spacing w:val="53"/>
        </w:rPr>
        <w:t> </w:t>
      </w:r>
      <w:r>
        <w:rPr>
          <w:color w:val="1F1F1E"/>
        </w:rPr>
        <w:t>restrições  </w:t>
      </w:r>
      <w:r>
        <w:rPr>
          <w:color w:val="1F1F1E"/>
          <w:spacing w:val="55"/>
        </w:rPr>
        <w:t> </w:t>
      </w:r>
      <w:r>
        <w:rPr>
          <w:color w:val="1F1F1E"/>
        </w:rPr>
        <w:t>impostas,</w:t>
      </w:r>
    </w:p>
    <w:p>
      <w:pPr>
        <w:pStyle w:val="BodyText"/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</w:t>
      </w:r>
      <w:r>
        <w:rPr>
          <w:color w:val="1F1F1E"/>
          <w:spacing w:val="68"/>
        </w:rPr>
        <w:t> </w:t>
      </w:r>
      <w:r>
        <w:rPr>
          <w:color w:val="1F1F1E"/>
        </w:rPr>
        <w:t>à Vida, a vigorar por</w:t>
      </w:r>
      <w:r>
        <w:rPr>
          <w:color w:val="1F1F1E"/>
          <w:spacing w:val="1"/>
        </w:rPr>
        <w:t> </w:t>
      </w:r>
      <w:r>
        <w:rPr>
          <w:color w:val="1F1F1E"/>
        </w:rPr>
        <w:t>dez dias, a partir da zero hora de </w:t>
      </w:r>
      <w:r>
        <w:rPr/>
        <w:t>Terça, 27 de Abril de 2021 às 23h:59min do dia 06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</w:t>
      </w:r>
      <w:r>
        <w:rPr>
          <w:spacing w:val="-5"/>
        </w:rPr>
        <w:t> </w:t>
      </w:r>
      <w:r>
        <w:rPr/>
        <w:t>não</w:t>
      </w:r>
      <w:r>
        <w:rPr>
          <w:spacing w:val="-2"/>
        </w:rPr>
        <w:t> </w:t>
      </w:r>
      <w:r>
        <w:rPr/>
        <w:t>isentando</w:t>
      </w:r>
      <w:r>
        <w:rPr>
          <w:spacing w:val="-5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física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seu</w:t>
      </w:r>
      <w:r>
        <w:rPr>
          <w:spacing w:val="-4"/>
        </w:rPr>
        <w:t> </w:t>
      </w:r>
      <w:r>
        <w:rPr/>
        <w:t>cumprimento,</w:t>
      </w:r>
    </w:p>
    <w:sectPr>
      <w:type w:val="continuous"/>
      <w:pgSz w:w="11910" w:h="16840"/>
      <w:pgMar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2021-09-21T14:46:39Z</dcterms:created>
  <dcterms:modified xsi:type="dcterms:W3CDTF">2021-09-21T14:46:39Z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