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3018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11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setembro,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139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R$30.000,00,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139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CAMARA MUNICIPAL DE </w:t>
      </w:r>
      <w:r>
        <w:rPr>
          <w:spacing w:val="-2"/>
        </w:rPr>
        <w:t>SEROPÉDICA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219"/>
        <w:gridCol w:w="3896"/>
        <w:gridCol w:w="994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02.01</w:t>
            </w:r>
          </w:p>
        </w:tc>
        <w:tc>
          <w:tcPr>
            <w:tcW w:w="4219" w:type="dxa"/>
          </w:tcPr>
          <w:p>
            <w:pPr>
              <w:pStyle w:val="TableParagraph"/>
              <w:spacing w:line="179" w:lineRule="exact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Câmara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Seropédica</w:t>
            </w:r>
          </w:p>
        </w:tc>
        <w:tc>
          <w:tcPr>
            <w:tcW w:w="489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2.001</w:t>
            </w:r>
          </w:p>
        </w:tc>
        <w:tc>
          <w:tcPr>
            <w:tcW w:w="4219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Funcionamento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48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3.1.9.0.94.00</w:t>
            </w:r>
          </w:p>
        </w:tc>
        <w:tc>
          <w:tcPr>
            <w:tcW w:w="4219" w:type="dxa"/>
          </w:tcPr>
          <w:p>
            <w:pPr>
              <w:pStyle w:val="TableParagraph"/>
              <w:spacing w:before="40"/>
              <w:ind w:left="163"/>
              <w:rPr>
                <w:sz w:val="16"/>
              </w:rPr>
            </w:pPr>
            <w:r>
              <w:rPr>
                <w:sz w:val="16"/>
              </w:rPr>
              <w:t>INDENIZAÇÕES E RESTITUIÇÕES </w:t>
            </w:r>
            <w:r>
              <w:rPr>
                <w:spacing w:val="-2"/>
                <w:sz w:val="16"/>
              </w:rPr>
              <w:t>TRABALHISTAS</w:t>
            </w:r>
          </w:p>
        </w:tc>
        <w:tc>
          <w:tcPr>
            <w:tcW w:w="3896" w:type="dxa"/>
          </w:tcPr>
          <w:p>
            <w:pPr>
              <w:pStyle w:val="TableParagraph"/>
              <w:spacing w:before="40"/>
              <w:ind w:left="1013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994" w:type="dxa"/>
          </w:tcPr>
          <w:p>
            <w:pPr>
              <w:pStyle w:val="TableParagraph"/>
              <w:spacing w:before="40"/>
              <w:ind w:left="1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spacing w:before="40"/>
              <w:ind w:left="2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994" w:type="dxa"/>
          </w:tcPr>
          <w:p>
            <w:pPr>
              <w:pStyle w:val="TableParagraph"/>
              <w:spacing w:before="40"/>
              <w:ind w:lef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spacing w:before="48"/>
              <w:ind w:left="2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994" w:type="dxa"/>
          </w:tcPr>
          <w:p>
            <w:pPr>
              <w:pStyle w:val="TableParagraph"/>
              <w:spacing w:before="48"/>
              <w:ind w:lef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spacing w:line="164" w:lineRule="exact" w:before="33"/>
              <w:ind w:left="8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Suplementado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 w:before="33"/>
              <w:ind w:lef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30.000,00</w:t>
            </w:r>
          </w:p>
        </w:tc>
      </w:tr>
    </w:tbl>
    <w:p>
      <w:pPr>
        <w:pStyle w:val="BodyText"/>
        <w:spacing w:line="273" w:lineRule="auto" w:before="134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R$30.000,00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$30.000,00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before="79"/>
      </w:pPr>
      <w:r>
        <w:rPr/>
        <w:t>CAMARA MUNICIPAL DE </w:t>
      </w:r>
      <w:r>
        <w:rPr>
          <w:spacing w:val="-2"/>
        </w:rPr>
        <w:t>SEROPÉDICA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362"/>
        <w:gridCol w:w="3754"/>
        <w:gridCol w:w="994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02.01</w:t>
            </w:r>
          </w:p>
        </w:tc>
        <w:tc>
          <w:tcPr>
            <w:tcW w:w="4362" w:type="dxa"/>
          </w:tcPr>
          <w:p>
            <w:pPr>
              <w:pStyle w:val="TableParagraph"/>
              <w:spacing w:line="179" w:lineRule="exact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Câmara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Seropédica</w:t>
            </w:r>
          </w:p>
        </w:tc>
        <w:tc>
          <w:tcPr>
            <w:tcW w:w="474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2.001</w:t>
            </w:r>
          </w:p>
        </w:tc>
        <w:tc>
          <w:tcPr>
            <w:tcW w:w="4362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Funcionamento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47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3.1.9.0.11.01</w:t>
            </w:r>
          </w:p>
        </w:tc>
        <w:tc>
          <w:tcPr>
            <w:tcW w:w="4362" w:type="dxa"/>
          </w:tcPr>
          <w:p>
            <w:pPr>
              <w:pStyle w:val="TableParagraph"/>
              <w:spacing w:before="40"/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3754" w:type="dxa"/>
          </w:tcPr>
          <w:p>
            <w:pPr>
              <w:pStyle w:val="TableParagraph"/>
              <w:spacing w:before="40"/>
              <w:ind w:left="870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994" w:type="dxa"/>
          </w:tcPr>
          <w:p>
            <w:pPr>
              <w:pStyle w:val="TableParagraph"/>
              <w:spacing w:before="40"/>
              <w:ind w:left="18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spacing w:before="40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994" w:type="dxa"/>
          </w:tcPr>
          <w:p>
            <w:pPr>
              <w:pStyle w:val="TableParagraph"/>
              <w:spacing w:before="40"/>
              <w:ind w:left="184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spacing w:before="48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994" w:type="dxa"/>
          </w:tcPr>
          <w:p>
            <w:pPr>
              <w:pStyle w:val="TableParagraph"/>
              <w:spacing w:before="48"/>
              <w:ind w:left="184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spacing w:line="164" w:lineRule="exact" w:before="33"/>
              <w:ind w:left="11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 w:before="33"/>
              <w:ind w:left="184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30.000,00</w:t>
            </w:r>
          </w:p>
        </w:tc>
      </w:tr>
    </w:tbl>
    <w:p>
      <w:pPr>
        <w:pStyle w:val="BodyText"/>
        <w:tabs>
          <w:tab w:pos="1552" w:val="left" w:leader="none"/>
        </w:tabs>
        <w:spacing w:before="134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22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11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setembro,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headerReference w:type="default" r:id="rId5"/>
      <w:footerReference w:type="default" r:id="rId6"/>
      <w:type w:val="continuous"/>
      <w:pgSz w:w="11900" w:h="16840"/>
      <w:pgMar w:header="336" w:footer="922" w:top="2000" w:bottom="1120" w:left="566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6672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3616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3564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8272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7696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3718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 w:after="53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2025-09-17T11:51:22Z</dcterms:created>
  <dcterms:modified xsi:type="dcterms:W3CDTF">2025-09-17T11:51:22Z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2025-09-12T00:00:00Z</vt:filetime>
  </property>
</Properties>
</file>