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1432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Luciana Moreira Costa de Queiroz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15174, </w:t>
      </w:r>
      <w:r>
        <w:rPr>
          <w:sz w:val="24"/>
        </w:rPr>
        <w:t>lotada na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-1"/>
          <w:sz w:val="24"/>
        </w:rPr>
        <w:t> </w:t>
      </w:r>
      <w:r>
        <w:rPr>
          <w:sz w:val="24"/>
        </w:rPr>
        <w:t>de Educação,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03 </w:t>
      </w:r>
      <w:r>
        <w:rPr>
          <w:sz w:val="24"/>
        </w:rPr>
        <w:t>(três )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Art. 83,</w:t>
      </w:r>
      <w:r>
        <w:rPr>
          <w:spacing w:val="-2"/>
          <w:sz w:val="24"/>
        </w:rPr>
        <w:t> </w:t>
      </w:r>
      <w:r>
        <w:rPr>
          <w:sz w:val="24"/>
        </w:rPr>
        <w:t>Título</w:t>
      </w:r>
      <w:r>
        <w:rPr>
          <w:spacing w:val="-1"/>
          <w:sz w:val="24"/>
        </w:rPr>
        <w:t> </w:t>
      </w:r>
      <w:r>
        <w:rPr>
          <w:sz w:val="24"/>
        </w:rPr>
        <w:t>II,</w:t>
      </w:r>
      <w:r>
        <w:rPr>
          <w:spacing w:val="-3"/>
          <w:sz w:val="24"/>
        </w:rPr>
        <w:t> </w:t>
      </w:r>
      <w:r>
        <w:rPr>
          <w:sz w:val="24"/>
        </w:rPr>
        <w:t>Capitulo</w:t>
      </w:r>
      <w:r>
        <w:rPr>
          <w:spacing w:val="-1"/>
          <w:sz w:val="24"/>
        </w:rPr>
        <w:t> </w:t>
      </w:r>
      <w:r>
        <w:rPr>
          <w:sz w:val="24"/>
        </w:rPr>
        <w:t>IV,</w:t>
      </w:r>
      <w:r>
        <w:rPr>
          <w:spacing w:val="-3"/>
          <w:sz w:val="24"/>
        </w:rPr>
        <w:t> </w:t>
      </w:r>
      <w:r>
        <w:rPr>
          <w:sz w:val="24"/>
        </w:rPr>
        <w:t>Seção</w:t>
      </w:r>
      <w:r>
        <w:rPr>
          <w:spacing w:val="-1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1"/>
          <w:sz w:val="24"/>
        </w:rPr>
        <w:t> </w:t>
      </w:r>
      <w:r>
        <w:rPr>
          <w:sz w:val="24"/>
        </w:rPr>
        <w:t>011/97</w:t>
      </w:r>
      <w:r>
        <w:rPr>
          <w:spacing w:val="-3"/>
          <w:sz w:val="24"/>
        </w:rPr>
        <w:t> </w:t>
      </w:r>
      <w:r>
        <w:rPr>
          <w:sz w:val="24"/>
        </w:rPr>
        <w:t>– Estatuto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Servidores</w:t>
      </w:r>
      <w:r>
        <w:rPr>
          <w:spacing w:val="-1"/>
          <w:sz w:val="24"/>
        </w:rPr>
        <w:t> </w:t>
      </w:r>
      <w:r>
        <w:rPr>
          <w:sz w:val="24"/>
        </w:rPr>
        <w:t>Públicos,</w:t>
      </w:r>
      <w:r>
        <w:rPr>
          <w:spacing w:val="-3"/>
          <w:sz w:val="24"/>
        </w:rPr>
        <w:t> </w:t>
      </w:r>
      <w:r>
        <w:rPr>
          <w:sz w:val="24"/>
        </w:rPr>
        <w:t>com efeito a partir de </w:t>
      </w:r>
      <w:r>
        <w:rPr>
          <w:rFonts w:ascii="Arial" w:hAnsi="Arial"/>
          <w:b/>
          <w:sz w:val="24"/>
        </w:rPr>
        <w:t>12/11/2025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1990" w:top="2000" w:bottom="21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2297683</wp:posOffset>
              </wp:positionH>
              <wp:positionV relativeFrom="page">
                <wp:posOffset>9288987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31.416321pt;width:205.4pt;height:43.0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2026-01-07T17:28:35Z</dcterms:created>
  <dcterms:modified xsi:type="dcterms:W3CDTF">2026-01-07T17:28:35Z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