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1456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(o)</w:t>
      </w:r>
      <w:r>
        <w:rPr>
          <w:spacing w:val="-1"/>
          <w:sz w:val="24"/>
        </w:rPr>
        <w:t> </w:t>
      </w:r>
      <w:r>
        <w:rPr>
          <w:sz w:val="24"/>
        </w:rPr>
        <w:t>servidor (a), </w:t>
      </w:r>
      <w:r>
        <w:rPr>
          <w:rFonts w:ascii="Arial" w:hAnsi="Arial"/>
          <w:b/>
          <w:sz w:val="24"/>
        </w:rPr>
        <w:t>Luiz Humberto Moreira de Souza Junior</w:t>
      </w:r>
      <w:r>
        <w:rPr>
          <w:sz w:val="24"/>
        </w:rPr>
        <w:t>, matrícula nº.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3324, </w:t>
      </w:r>
      <w:r>
        <w:rPr>
          <w:sz w:val="24"/>
        </w:rPr>
        <w:t>lotada na Secretaria de Saúde,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08/10/2025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06/12/2025,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081/2025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2026-01-07T18:55:43Z</dcterms:created>
  <dcterms:modified xsi:type="dcterms:W3CDTF">2026-01-07T18:55:43Z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